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94" w:rsidRPr="00FF7794" w:rsidRDefault="00FF7794" w:rsidP="00FF7794">
      <w:pPr>
        <w:pageBreakBefore/>
        <w:spacing w:after="60"/>
        <w:jc w:val="center"/>
        <w:rPr>
          <w:b/>
          <w:kern w:val="28"/>
          <w:sz w:val="28"/>
          <w:szCs w:val="20"/>
        </w:rPr>
      </w:pPr>
      <w:r w:rsidRPr="00FF7794">
        <w:rPr>
          <w:b/>
          <w:kern w:val="28"/>
          <w:sz w:val="28"/>
          <w:szCs w:val="20"/>
        </w:rPr>
        <w:t>Title 7</w:t>
      </w:r>
    </w:p>
    <w:p w:rsidR="00FF7794" w:rsidRPr="00FF7794" w:rsidRDefault="00FF7794" w:rsidP="00FF7794">
      <w:pPr>
        <w:keepNext/>
        <w:keepLines/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</w:tabs>
        <w:spacing w:after="120"/>
        <w:ind w:left="144" w:right="144"/>
        <w:jc w:val="center"/>
        <w:rPr>
          <w:b/>
          <w:caps/>
          <w:kern w:val="2"/>
          <w:sz w:val="28"/>
          <w:szCs w:val="20"/>
        </w:rPr>
      </w:pPr>
      <w:r w:rsidRPr="00FF7794">
        <w:rPr>
          <w:b/>
          <w:caps/>
          <w:kern w:val="2"/>
          <w:sz w:val="28"/>
          <w:szCs w:val="20"/>
        </w:rPr>
        <w:t>AGRICULTURE AND ANIMALS</w:t>
      </w:r>
    </w:p>
    <w:p w:rsidR="00FF7794" w:rsidRPr="00FF7794" w:rsidRDefault="00FF7794" w:rsidP="00FF7794">
      <w:pPr>
        <w:keepNext/>
        <w:keepLines/>
        <w:spacing w:after="120"/>
        <w:jc w:val="center"/>
        <w:outlineLvl w:val="0"/>
        <w:rPr>
          <w:b/>
          <w:kern w:val="2"/>
          <w:sz w:val="28"/>
          <w:szCs w:val="20"/>
        </w:rPr>
      </w:pPr>
      <w:bookmarkStart w:id="0" w:name="_Toc348951603"/>
      <w:r w:rsidRPr="00FF7794">
        <w:rPr>
          <w:b/>
          <w:kern w:val="2"/>
          <w:sz w:val="28"/>
          <w:szCs w:val="20"/>
        </w:rPr>
        <w:t>Part XIX.  Agriculture Liming Materials</w:t>
      </w:r>
      <w:bookmarkStart w:id="1" w:name="BackHeeah"/>
      <w:bookmarkEnd w:id="0"/>
    </w:p>
    <w:p w:rsidR="00FF7794" w:rsidRPr="00FF7794" w:rsidRDefault="00FF7794" w:rsidP="00FF7794">
      <w:pPr>
        <w:keepNext/>
        <w:keepLines/>
        <w:spacing w:after="120"/>
        <w:jc w:val="center"/>
        <w:outlineLvl w:val="0"/>
        <w:rPr>
          <w:b/>
          <w:kern w:val="2"/>
          <w:sz w:val="28"/>
          <w:szCs w:val="20"/>
        </w:rPr>
      </w:pPr>
    </w:p>
    <w:bookmarkEnd w:id="1"/>
    <w:p w:rsidR="00FF7794" w:rsidRPr="00FF7794" w:rsidRDefault="00FF7794" w:rsidP="00FF7794">
      <w:pPr>
        <w:keepNext/>
        <w:keepLines/>
        <w:spacing w:after="120"/>
        <w:jc w:val="center"/>
        <w:outlineLvl w:val="0"/>
        <w:rPr>
          <w:b/>
          <w:kern w:val="2"/>
          <w:sz w:val="28"/>
          <w:szCs w:val="20"/>
        </w:rPr>
        <w:sectPr w:rsidR="00FF7794" w:rsidRPr="00FF7794" w:rsidSect="00FF7794">
          <w:headerReference w:type="default" r:id="rId5"/>
          <w:type w:val="continuous"/>
          <w:pgSz w:w="12240" w:h="15840" w:code="1"/>
          <w:pgMar w:top="1080" w:right="864" w:bottom="864" w:left="864" w:header="576" w:footer="432" w:gutter="0"/>
          <w:cols w:space="720"/>
          <w:docGrid w:linePitch="326"/>
        </w:sectPr>
      </w:pPr>
    </w:p>
    <w:p w:rsidR="00FF7794" w:rsidRPr="00FF7794" w:rsidRDefault="00FF7794" w:rsidP="00FF7794">
      <w:pPr>
        <w:keepNext/>
        <w:keepLines/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</w:tabs>
        <w:spacing w:after="120"/>
        <w:ind w:left="144" w:right="144"/>
        <w:jc w:val="center"/>
        <w:outlineLvl w:val="1"/>
        <w:rPr>
          <w:b/>
          <w:kern w:val="2"/>
          <w:sz w:val="28"/>
          <w:szCs w:val="20"/>
        </w:rPr>
      </w:pPr>
      <w:bookmarkStart w:id="2" w:name="_Toc348951604"/>
      <w:r w:rsidRPr="00FF7794">
        <w:rPr>
          <w:b/>
          <w:kern w:val="2"/>
          <w:sz w:val="28"/>
          <w:szCs w:val="20"/>
        </w:rPr>
        <w:lastRenderedPageBreak/>
        <w:t>Chapter 1.</w:t>
      </w:r>
      <w:r w:rsidRPr="00FF7794">
        <w:rPr>
          <w:b/>
          <w:kern w:val="2"/>
          <w:sz w:val="28"/>
          <w:szCs w:val="20"/>
        </w:rPr>
        <w:tab/>
        <w:t>General Provisions</w:t>
      </w:r>
      <w:bookmarkEnd w:id="2"/>
    </w:p>
    <w:p w:rsidR="00FF7794" w:rsidRPr="00FF7794" w:rsidRDefault="00FF7794" w:rsidP="00FF7794">
      <w:pPr>
        <w:keepNext/>
        <w:keepLines/>
        <w:tabs>
          <w:tab w:val="left" w:pos="0"/>
          <w:tab w:val="left" w:pos="180"/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</w:tabs>
        <w:spacing w:after="120" w:line="240" w:lineRule="exact"/>
        <w:ind w:left="720" w:hanging="720"/>
        <w:outlineLvl w:val="2"/>
        <w:rPr>
          <w:b/>
          <w:kern w:val="2"/>
          <w:sz w:val="20"/>
          <w:szCs w:val="20"/>
        </w:rPr>
      </w:pPr>
      <w:bookmarkStart w:id="3" w:name="_Toc348951605"/>
      <w:r w:rsidRPr="00FF7794">
        <w:rPr>
          <w:b/>
          <w:kern w:val="2"/>
          <w:sz w:val="20"/>
          <w:szCs w:val="20"/>
        </w:rPr>
        <w:t>§101.</w:t>
      </w:r>
      <w:r w:rsidRPr="00FF7794">
        <w:rPr>
          <w:b/>
          <w:kern w:val="2"/>
          <w:sz w:val="20"/>
          <w:szCs w:val="20"/>
        </w:rPr>
        <w:tab/>
        <w:t>Analysis and Deficiencies</w:t>
      </w:r>
      <w:bookmarkEnd w:id="3"/>
    </w:p>
    <w:p w:rsidR="00FF7794" w:rsidRPr="00FF7794" w:rsidRDefault="00FF7794" w:rsidP="00FF7794">
      <w:pPr>
        <w:tabs>
          <w:tab w:val="left" w:pos="187"/>
          <w:tab w:val="left" w:pos="540"/>
          <w:tab w:val="left" w:pos="4500"/>
          <w:tab w:val="left" w:pos="4680"/>
          <w:tab w:val="left" w:pos="4860"/>
          <w:tab w:val="left" w:pos="5040"/>
          <w:tab w:val="left" w:pos="7200"/>
        </w:tabs>
        <w:spacing w:after="120"/>
        <w:ind w:firstLine="187"/>
        <w:jc w:val="both"/>
        <w:outlineLvl w:val="3"/>
        <w:rPr>
          <w:kern w:val="2"/>
          <w:sz w:val="20"/>
          <w:szCs w:val="20"/>
        </w:rPr>
      </w:pPr>
      <w:r w:rsidRPr="00FF7794">
        <w:rPr>
          <w:kern w:val="2"/>
          <w:sz w:val="20"/>
          <w:szCs w:val="20"/>
        </w:rPr>
        <w:t>A.</w:t>
      </w:r>
      <w:r w:rsidRPr="00FF7794">
        <w:rPr>
          <w:kern w:val="2"/>
          <w:sz w:val="20"/>
          <w:szCs w:val="20"/>
        </w:rPr>
        <w:tab/>
        <w:t xml:space="preserve">Analysis of lime samples shall be conducted in accordance with methods published by the Association of Official Analytical Chemists or in accordance with other generally recognized methods. </w:t>
      </w:r>
    </w:p>
    <w:p w:rsidR="00FF7794" w:rsidRPr="00FF7794" w:rsidRDefault="00FF7794" w:rsidP="00FF7794">
      <w:pPr>
        <w:tabs>
          <w:tab w:val="left" w:pos="187"/>
          <w:tab w:val="left" w:pos="540"/>
          <w:tab w:val="left" w:pos="4500"/>
          <w:tab w:val="left" w:pos="4680"/>
          <w:tab w:val="left" w:pos="4860"/>
          <w:tab w:val="left" w:pos="5040"/>
          <w:tab w:val="left" w:pos="7200"/>
        </w:tabs>
        <w:spacing w:after="120"/>
        <w:ind w:firstLine="187"/>
        <w:jc w:val="both"/>
        <w:outlineLvl w:val="3"/>
        <w:rPr>
          <w:kern w:val="2"/>
          <w:sz w:val="20"/>
          <w:szCs w:val="20"/>
        </w:rPr>
      </w:pPr>
      <w:r w:rsidRPr="00FF7794">
        <w:rPr>
          <w:kern w:val="2"/>
          <w:sz w:val="20"/>
          <w:szCs w:val="20"/>
        </w:rPr>
        <w:t>B.</w:t>
      </w:r>
      <w:r w:rsidRPr="00FF7794">
        <w:rPr>
          <w:kern w:val="2"/>
          <w:sz w:val="20"/>
          <w:szCs w:val="20"/>
        </w:rPr>
        <w:tab/>
        <w:t>Liming material that</w:t>
      </w:r>
      <w:smartTag w:uri="urn:schemas-microsoft-com:office:smarttags" w:element="PersonName">
        <w:r w:rsidRPr="00FF7794">
          <w:rPr>
            <w:kern w:val="2"/>
            <w:sz w:val="20"/>
            <w:szCs w:val="20"/>
          </w:rPr>
          <w:t>,</w:t>
        </w:r>
      </w:smartTag>
      <w:r w:rsidRPr="00FF7794">
        <w:rPr>
          <w:kern w:val="2"/>
          <w:sz w:val="20"/>
          <w:szCs w:val="20"/>
        </w:rPr>
        <w:t xml:space="preserve"> upon official analysis</w:t>
      </w:r>
      <w:smartTag w:uri="urn:schemas-microsoft-com:office:smarttags" w:element="PersonName">
        <w:r w:rsidRPr="00FF7794">
          <w:rPr>
            <w:kern w:val="2"/>
            <w:sz w:val="20"/>
            <w:szCs w:val="20"/>
          </w:rPr>
          <w:t>,</w:t>
        </w:r>
      </w:smartTag>
      <w:r w:rsidRPr="00FF7794">
        <w:rPr>
          <w:kern w:val="2"/>
          <w:sz w:val="20"/>
          <w:szCs w:val="20"/>
        </w:rPr>
        <w:t xml:space="preserve"> is found to be deficient by 5 percent or more shall be considered as having failed to meet the standard set forth in R.S. 3:1430.8. </w:t>
      </w:r>
    </w:p>
    <w:p w:rsidR="00FF7794" w:rsidRPr="00FF7794" w:rsidRDefault="00FF7794" w:rsidP="00FF7794">
      <w:pPr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</w:tabs>
        <w:ind w:firstLine="187"/>
        <w:jc w:val="both"/>
        <w:rPr>
          <w:kern w:val="2"/>
          <w:sz w:val="18"/>
          <w:szCs w:val="20"/>
        </w:rPr>
      </w:pPr>
      <w:r w:rsidRPr="00FF7794">
        <w:rPr>
          <w:kern w:val="2"/>
          <w:sz w:val="18"/>
          <w:szCs w:val="20"/>
        </w:rPr>
        <w:t xml:space="preserve">AUTHORITY NOTE: Promulgated in accordance with R.S. 3:1430.8(I). </w:t>
      </w:r>
    </w:p>
    <w:p w:rsidR="00991018" w:rsidRDefault="00FF7794" w:rsidP="00FF7794">
      <w:r w:rsidRPr="00FF7794">
        <w:rPr>
          <w:szCs w:val="20"/>
        </w:rPr>
        <w:t>HISTORICAL NOTE: Promulgated by the Department of Agriculture and Forestry, Feed, Fertilizer</w:t>
      </w:r>
      <w:smartTag w:uri="urn:schemas-microsoft-com:office:smarttags" w:element="PersonName">
        <w:r w:rsidRPr="00FF7794">
          <w:rPr>
            <w:szCs w:val="20"/>
          </w:rPr>
          <w:t>,</w:t>
        </w:r>
      </w:smartTag>
      <w:r w:rsidRPr="00FF7794">
        <w:rPr>
          <w:szCs w:val="20"/>
        </w:rPr>
        <w:t xml:space="preserve"> and Agricultural Liming Commission</w:t>
      </w:r>
      <w:smartTag w:uri="urn:schemas-microsoft-com:office:smarttags" w:element="PersonName">
        <w:r w:rsidRPr="00FF7794">
          <w:rPr>
            <w:szCs w:val="20"/>
          </w:rPr>
          <w:t>,</w:t>
        </w:r>
      </w:smartTag>
      <w:r w:rsidRPr="00FF7794">
        <w:rPr>
          <w:szCs w:val="20"/>
        </w:rPr>
        <w:t xml:space="preserve"> LR 38:2527 (October 2012</w:t>
      </w:r>
      <w:bookmarkStart w:id="4" w:name="_GoBack"/>
      <w:bookmarkEnd w:id="4"/>
    </w:p>
    <w:sectPr w:rsidR="00991018" w:rsidSect="00C8680D">
      <w:type w:val="continuous"/>
      <w:pgSz w:w="12240" w:h="15840" w:code="1"/>
      <w:pgMar w:top="1440" w:right="1440" w:bottom="1440" w:left="1440" w:header="0" w:footer="0" w:gutter="0"/>
      <w:paperSrc w:first="26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B2" w:rsidRDefault="00FF77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94"/>
    <w:rsid w:val="004424C5"/>
    <w:rsid w:val="00991018"/>
    <w:rsid w:val="00A00E26"/>
    <w:rsid w:val="00C8680D"/>
    <w:rsid w:val="00D27E93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7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7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Angelle</dc:creator>
  <cp:keywords/>
  <dc:description/>
  <cp:lastModifiedBy>Pearson, Angelle</cp:lastModifiedBy>
  <cp:revision>1</cp:revision>
  <dcterms:created xsi:type="dcterms:W3CDTF">2013-07-23T17:55:00Z</dcterms:created>
  <dcterms:modified xsi:type="dcterms:W3CDTF">2013-07-23T17:55:00Z</dcterms:modified>
</cp:coreProperties>
</file>